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C5" w:rsidRPr="001B4BC5" w:rsidRDefault="001B4BC5" w:rsidP="001B4BC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4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Составляющие функциональной грамотности</w:t>
      </w:r>
    </w:p>
    <w:p w:rsidR="001B4BC5" w:rsidRPr="001B4BC5" w:rsidRDefault="001B4BC5" w:rsidP="001B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C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25"/>
      </w:tblGrid>
      <w:tr w:rsidR="001B4BC5" w:rsidRPr="001B4BC5" w:rsidTr="001B4BC5">
        <w:trPr>
          <w:trHeight w:val="1114"/>
        </w:trPr>
        <w:tc>
          <w:tcPr>
            <w:tcW w:w="26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​​1. Читательская грамотность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​Способность человека понимать и использовать письменное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1B4BC5" w:rsidRPr="001B4BC5" w:rsidTr="001B4BC5">
        <w:tc>
          <w:tcPr>
            <w:tcW w:w="26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​2. Естественно-научная грамотность​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​Способность человека занимать активную гражданскую позицию по вопросам, связанным с естественно-научными идеями</w:t>
            </w:r>
          </w:p>
        </w:tc>
      </w:tr>
      <w:tr w:rsidR="001B4BC5" w:rsidRPr="001B4BC5" w:rsidTr="001B4BC5">
        <w:tc>
          <w:tcPr>
            <w:tcW w:w="26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​3. Математическая грамотность​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1B4BC5" w:rsidRPr="001B4BC5" w:rsidTr="001B4BC5">
        <w:tc>
          <w:tcPr>
            <w:tcW w:w="26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​4. Финансовая грамотность​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1B4BC5" w:rsidRPr="001B4BC5" w:rsidTr="001B4BC5">
        <w:tc>
          <w:tcPr>
            <w:tcW w:w="26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​5. Креативное мышление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​способность продуктивно участвовать </w:t>
            </w:r>
            <w:proofErr w:type="gram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 процессе</w:t>
            </w:r>
            <w:proofErr w:type="gram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1B4BC5" w:rsidRPr="001B4BC5" w:rsidTr="001B4BC5">
        <w:tc>
          <w:tcPr>
            <w:tcW w:w="26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​6. Глобальные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1B4BC5" w:rsidRPr="001B4BC5" w:rsidRDefault="001B4BC5" w:rsidP="001B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C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B4BC5" w:rsidRPr="001B4BC5" w:rsidRDefault="001B4BC5" w:rsidP="001B4BC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4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Материалы для формирования и оценки функциональной</w:t>
      </w:r>
    </w:p>
    <w:p w:rsidR="001B4BC5" w:rsidRPr="001B4BC5" w:rsidRDefault="001B4BC5" w:rsidP="001B4BC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B4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грамотности</w:t>
      </w:r>
      <w:proofErr w:type="gramEnd"/>
      <w:r w:rsidRPr="001B4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обучающихся​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9"/>
        <w:gridCol w:w="1281"/>
      </w:tblGrid>
      <w:tr w:rsidR="001B4BC5" w:rsidRPr="001B4BC5" w:rsidTr="001B4BC5">
        <w:tc>
          <w:tcPr>
            <w:tcW w:w="811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​Приказ Министерства Просвещения РФ от 06.05.2019 № 219 "Об утверждении методологии и критериев оценки качества общего образования в ОО на основе практики международных 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иссследований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качества подготовки обучающихся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4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​Письмо Министерства </w:t>
            </w:r>
            <w:r w:rsidRPr="001B4BC5">
              <w:rPr>
                <w:rFonts w:ascii="Times New Roman" w:eastAsia="Times New Roman" w:hAnsi="Times New Roman" w:cs="Times New Roman"/>
                <w:color w:val="555555"/>
                <w:spacing w:val="-1"/>
                <w:sz w:val="24"/>
                <w:szCs w:val="24"/>
                <w:lang w:eastAsia="ru-RU"/>
              </w:rPr>
              <w:t>просвещения РФ от 12 сентября 2019 года № ТС-2176/04 «О материалах для </w:t>
            </w: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формирования и оценки функциональной грамотности обучающихся»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​​</w:t>
            </w:r>
            <w:hyperlink r:id="rId5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​Приказ Министерства Просвещения РФ от 06.05.2019г. № 219 Об утверждении методологии и критериев оценки качества общего образования в ОО.pdf </w:t>
            </w:r>
            <w:hyperlink r:id="rId6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(скачать) </w:t>
              </w:r>
            </w:hyperlink>
          </w:p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</w:t>
              </w:r>
              <w:proofErr w:type="gramStart"/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посмотреть</w:t>
              </w:r>
              <w:proofErr w:type="gramEnd"/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​Письмо Министерства просвещения РФ от 17.09.2021 № 03-1526 О методическом 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обеспеченииработы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повышению функциональной грамотности.pdf </w:t>
            </w:r>
            <w:hyperlink r:id="rId8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(скачать) </w:t>
              </w:r>
            </w:hyperlink>
            <w:hyperlink r:id="rId9" w:tgtFrame="_blank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(посмотреть)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​Письмо Министерства просвещения РФ от 22.03.2021 № 04-238 Об электронном банке тренировочных заданий по оценке функциональной грамотности.pdf </w:t>
            </w:r>
            <w:hyperlink r:id="rId10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(скачать) </w:t>
              </w:r>
            </w:hyperlink>
            <w:hyperlink r:id="rId11" w:tgtFrame="_blank" w:history="1">
              <w:r w:rsidRPr="001B4BC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(посмотреть)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​Письмо Министерства просвещения РФ от 26.01.2021 № ТВ-94-04 Об электронном банке тренировочных заданий по оценке функциональной грамотности.pdf </w:t>
            </w:r>
            <w:hyperlink r:id="rId12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(скачать) </w:t>
              </w:r>
            </w:hyperlink>
            <w:hyperlink r:id="rId13" w:tgtFrame="_blank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(посмотреть)​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​Примеры открытых заданий PISA (по читательской, математической, естественнонаучной, финансовой грамотности и заданий по совместному решению задач)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14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УчительКлуб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 </w:t>
            </w:r>
            <w:hyperlink r:id="rId15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​</w:t>
              </w:r>
            </w:hyperlink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Образовательная платформа "Просвещение" ​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16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просмотр​​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​Банк заданий по функциональной грамотности Просвещение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17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  <w:r w:rsidRPr="001B4BC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5DB0063" wp14:editId="71D31FF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ИнтенсивУчитель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3.0 Тест "Цифровые компетенции педагога</w:t>
            </w:r>
            <w:proofErr w:type="gram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  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0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​просмотр​​</w:t>
              </w:r>
            </w:hyperlink>
          </w:p>
        </w:tc>
      </w:tr>
      <w:tr w:rsidR="001B4BC5" w:rsidRPr="001B4BC5" w:rsidTr="001B4BC5">
        <w:trPr>
          <w:trHeight w:val="548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ИнтенсивУчитель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3.0 Тест «Компетенции учителя по формированию функциональной грамотности </w:t>
            </w:r>
            <w:proofErr w:type="gramStart"/>
            <w:r w:rsidRPr="001B4B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учеников»​</w:t>
            </w:r>
            <w:proofErr w:type="gramEnd"/>
            <w:r w:rsidRPr="001B4BC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1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​Материалы по формированию ФГ </w:t>
            </w:r>
            <w:r w:rsidRPr="001B4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Института стратегии развития образования РАО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2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​Читательская грамотность: понятие, приемы формирования (презентация)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3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​Открытый банк заданий </w:t>
            </w:r>
            <w:r w:rsidRPr="001B4B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Института стратегии развития образования РАО</w:t>
            </w: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 функциональной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4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rPr>
          <w:trHeight w:val="345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​Методы и приемы оценивания читательской грамотности (презентация)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5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ЯндексУчебник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Функциональная грамотность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6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rPr>
          <w:trHeight w:val="534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​​​Учебно-методические комплексы и методические материалы по финансовой грамотности для 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7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rPr>
          <w:trHeight w:val="285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РЭШ. ​Электронный банк заданий для оценки функциональной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8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rPr>
          <w:trHeight w:val="285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​Инструкция для учителя по использованию банка заданий РЭШ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29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rPr>
          <w:trHeight w:val="285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ФИОКО. Открытые задания PISA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30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просмотр​</w:t>
              </w:r>
            </w:hyperlink>
          </w:p>
        </w:tc>
      </w:tr>
      <w:tr w:rsidR="001B4BC5" w:rsidRPr="001B4BC5" w:rsidTr="001B4BC5">
        <w:trPr>
          <w:trHeight w:val="285"/>
        </w:trPr>
        <w:tc>
          <w:tcPr>
            <w:tcW w:w="811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ФИПИ. Открытый банк заданий для оценки естественно-научной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31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​просмотр​</w:t>
              </w:r>
            </w:hyperlink>
          </w:p>
        </w:tc>
      </w:tr>
    </w:tbl>
    <w:p w:rsidR="001B4BC5" w:rsidRPr="001B4BC5" w:rsidRDefault="001B4BC5" w:rsidP="001B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C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B4BC5" w:rsidRPr="001B4BC5" w:rsidRDefault="001B4BC5" w:rsidP="001B4B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4BC5">
        <w:rPr>
          <w:rFonts w:ascii="Times New Roman" w:eastAsia="Times New Roman" w:hAnsi="Times New Roman" w:cs="Times New Roman"/>
          <w:color w:val="E36C0A"/>
          <w:sz w:val="24"/>
          <w:szCs w:val="24"/>
          <w:lang w:eastAsia="ru-RU"/>
        </w:rPr>
        <w:t>Повышение квалификации по формированию функциональной грамотности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  <w:gridCol w:w="1110"/>
      </w:tblGrid>
      <w:tr w:rsidR="001B4BC5" w:rsidRPr="001B4BC5" w:rsidTr="001B4BC5">
        <w:tc>
          <w:tcPr>
            <w:tcW w:w="4350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​​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ЯндексУчебник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Марафон по функциональной грамотности</w:t>
            </w:r>
          </w:p>
        </w:tc>
        <w:tc>
          <w:tcPr>
            <w:tcW w:w="600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32" w:anchor="tekst-8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4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Интенсив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ЯУчитель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33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</w:t>
              </w:r>
              <w:bookmarkStart w:id="0" w:name="_GoBack"/>
              <w:bookmarkEnd w:id="0"/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смотр</w:t>
              </w:r>
            </w:hyperlink>
          </w:p>
        </w:tc>
      </w:tr>
      <w:tr w:rsidR="001B4BC5" w:rsidRPr="001B4BC5" w:rsidTr="001B4BC5">
        <w:tc>
          <w:tcPr>
            <w:tcW w:w="4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​​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для педагогов по формированию функциональной грамотности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</w:t>
            </w:r>
            <w:hyperlink r:id="rId34" w:history="1">
              <w:r w:rsidRPr="001B4BC5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просмотр</w:t>
              </w:r>
            </w:hyperlink>
          </w:p>
        </w:tc>
      </w:tr>
      <w:tr w:rsidR="001B4BC5" w:rsidRPr="001B4BC5" w:rsidTr="001B4BC5">
        <w:tc>
          <w:tcPr>
            <w:tcW w:w="4350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​Функциональная грамотность: развиваем в школе (</w:t>
            </w:r>
            <w:proofErr w:type="spellStart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ЯндексУчебник</w:t>
            </w:r>
            <w:proofErr w:type="spellEnd"/>
            <w:r w:rsidRPr="001B4B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бесплатный курс 16ч)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BC5" w:rsidRPr="001B4BC5" w:rsidRDefault="001B4BC5" w:rsidP="001B4BC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  <w:proofErr w:type="gramEnd"/>
          </w:p>
        </w:tc>
      </w:tr>
    </w:tbl>
    <w:p w:rsidR="00077C79" w:rsidRDefault="00077C79"/>
    <w:sectPr w:rsidR="0007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C5"/>
    <w:rsid w:val="00077C79"/>
    <w:rsid w:val="001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77FA-09C3-4C41-A19C-3F84DE4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rezh.uralschool.ru/file/download?id=9972" TargetMode="External"/><Relationship Id="rId13" Type="http://schemas.openxmlformats.org/officeDocument/2006/relationships/hyperlink" Target="https://30rezh.uralschool.ru/upload/sc30rezh_new/files/1a/95/1a954a54bc06b8fabd9e052493c1856c.pdf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26" Type="http://schemas.openxmlformats.org/officeDocument/2006/relationships/hyperlink" Target="https://naveg.netboard.me/funkgr/?tab=211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ation.yandex.ru/uchitel/intensiv3/" TargetMode="External"/><Relationship Id="rId34" Type="http://schemas.openxmlformats.org/officeDocument/2006/relationships/hyperlink" Target="https://go.rosuchebnik.ru/search?query=%D1%84%D1%83%D0%BD%D0%BA%D1%86%D0%B8%D0%BE%D0%BD%D0%B0%D0%BB%D1%8C%D0%BD%D0%B0%D1%8F+%D0%B3%D1%80%D0%B0%D0%BC%D0%BE%D1%82%D0%BD%D0%BE%D1%81%D1%82%D1%8C" TargetMode="External"/><Relationship Id="rId7" Type="http://schemas.openxmlformats.org/officeDocument/2006/relationships/hyperlink" Target="https://30rezh.uralschool.ru/upload/sc30rezh_new/files/c3/6d/c36d239db5f953cddaff697dcf228af2.pdf" TargetMode="External"/><Relationship Id="rId12" Type="http://schemas.openxmlformats.org/officeDocument/2006/relationships/hyperlink" Target="https://30rezh.uralschool.ru/file/download?id=9976" TargetMode="External"/><Relationship Id="rId17" Type="http://schemas.openxmlformats.org/officeDocument/2006/relationships/hyperlink" Target="https://media.prosv.ru/fg/" TargetMode="External"/><Relationship Id="rId25" Type="http://schemas.openxmlformats.org/officeDocument/2006/relationships/hyperlink" Target="https://ciur.ru/deb/deb_mc/DocLib21/%D0%9C%D0%B5%D1%82%D0%BE%D0%B4%D1%8B%20%D0%B8%20%D0%BF%D1%80%D0%B8%D0%B5%D0%BC%D1%8B%20%D0%BE%D1%86%D0%B5%D0%BD%D0%B8%D0%B2%D0%B0%D0%BD%D0%B8%D1%8F.pptx" TargetMode="External"/><Relationship Id="rId33" Type="http://schemas.openxmlformats.org/officeDocument/2006/relationships/hyperlink" Target="https://education.yandex.ru/uchitel/intensiv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" TargetMode="External"/><Relationship Id="rId20" Type="http://schemas.openxmlformats.org/officeDocument/2006/relationships/hyperlink" Target="https://education.yandex.ru/uchitel/intensiv2/test/start-1/" TargetMode="External"/><Relationship Id="rId29" Type="http://schemas.openxmlformats.org/officeDocument/2006/relationships/hyperlink" Target="https://resh.edu.ru/instruc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30rezh.uralschool.ru/file/download?id=9971" TargetMode="External"/><Relationship Id="rId11" Type="http://schemas.openxmlformats.org/officeDocument/2006/relationships/hyperlink" Target="https://30rezh.uralschool.ru/upload/sc30rezh_new/files/e2/9b/e29b68740728049fdd81008a0a8e9440.pdf" TargetMode="Externa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s://yandex.ru/promo/education/specpro/marathon2020/main?turbo=true" TargetMode="External"/><Relationship Id="rId5" Type="http://schemas.openxmlformats.org/officeDocument/2006/relationships/hyperlink" Target="http://docs.cntd.ru/document/563477108" TargetMode="External"/><Relationship Id="rId15" Type="http://schemas.openxmlformats.org/officeDocument/2006/relationships/hyperlink" Target="https://uchitel.club/" TargetMode="External"/><Relationship Id="rId23" Type="http://schemas.openxmlformats.org/officeDocument/2006/relationships/hyperlink" Target="https://cloud.mail.ru/public/ny3J/LgMa4hjAa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30rezh.uralschool.ru/file/download?id=9973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knmc.ru/sites/default/files/%D0%9F%D1%80%D0%B8%D0%BA%D0%B0%D0%B7%20%D0%A0%D0%BE%D1%81%D0%BE%D0%B1%D1%80%D0%BD%D0%B0%D0%B4%D0%B7%D0%BE%D1%80%D0%B0%20N%20590%2C%20%D0%9C%D0%B8%D0%BD%D0%BF%D1%80%D0%BE%D1%81%D0%B2%D0%B5%D1%89%D0%B5%D0%BD%D0%B8%D1%8F%20%D0%A0%D0%BE%D1%81%D1%81%D0%B8%D0%B8%20N%20219%20%D0%BE%D1%82%200.pdf" TargetMode="External"/><Relationship Id="rId9" Type="http://schemas.openxmlformats.org/officeDocument/2006/relationships/hyperlink" Target="https://30rezh.uralschool.ru/upload/sc30rezh_new/files/d9/25/d9251895a2c0e931053828fe326db065.pdf" TargetMode="External"/><Relationship Id="rId14" Type="http://schemas.openxmlformats.org/officeDocument/2006/relationships/hyperlink" Target="https://ruo-suhobuzimo.edusite.ru/DswMedia/10120primeryizadaniypisa.pdf" TargetMode="External"/><Relationship Id="rId22" Type="http://schemas.openxmlformats.org/officeDocument/2006/relationships/hyperlink" Target="http://skiv.instrao.ru/content/board1/kratkaya-informatsiya/razrabotchiki/publikatsii/" TargetMode="External"/><Relationship Id="rId27" Type="http://schemas.openxmlformats.org/officeDocument/2006/relationships/hyperlink" Target="https://fmc.hse.ru/methodology" TargetMode="External"/><Relationship Id="rId30" Type="http://schemas.openxmlformats.org/officeDocument/2006/relationships/hyperlink" Target="https://fioco.ru/%D0%BF%D1%80%D0%B8%D0%BC%D0%B5%D1%80%D1%8B-%D0%B7%D0%B0%D0%B4%D0%B0%D1%87-pis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2023-10-18T13:42:00Z</dcterms:created>
  <dcterms:modified xsi:type="dcterms:W3CDTF">2023-10-18T13:43:00Z</dcterms:modified>
</cp:coreProperties>
</file>